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91E" w:rsidRDefault="00C6291E">
      <w:pPr>
        <w:spacing w:after="0" w:line="240" w:lineRule="auto"/>
        <w:rPr>
          <w:rFonts w:ascii="Arial" w:hAnsi="Arial" w:cs="Arial"/>
        </w:rPr>
      </w:pPr>
    </w:p>
    <w:p w:rsidR="00C6291E" w:rsidRDefault="004F0DC4">
      <w:pPr>
        <w:spacing w:after="0" w:line="240" w:lineRule="auto"/>
        <w:jc w:val="center"/>
      </w:pPr>
      <w:r>
        <w:rPr>
          <w:rFonts w:ascii="Arial" w:hAnsi="Arial" w:cs="Arial"/>
          <w:b/>
          <w:color w:val="000000"/>
          <w:sz w:val="28"/>
        </w:rPr>
        <w:t>Hinweis zur Grundbuchberichtigung</w:t>
      </w:r>
    </w:p>
    <w:p w:rsidR="00C6291E" w:rsidRDefault="00C6291E">
      <w:pPr>
        <w:spacing w:after="0" w:line="240" w:lineRule="auto"/>
        <w:rPr>
          <w:rFonts w:ascii="Arial" w:hAnsi="Arial" w:cs="Arial"/>
        </w:rPr>
      </w:pPr>
    </w:p>
    <w:p w:rsidR="00C6291E" w:rsidRDefault="00C6291E">
      <w:pPr>
        <w:spacing w:after="0" w:line="240" w:lineRule="auto"/>
        <w:rPr>
          <w:rFonts w:ascii="Arial" w:hAnsi="Arial" w:cs="Arial"/>
        </w:rPr>
      </w:pPr>
    </w:p>
    <w:p w:rsidR="00C6291E" w:rsidRPr="00763BBA" w:rsidRDefault="004F0DC4" w:rsidP="00763BBA">
      <w:pPr>
        <w:spacing w:after="0" w:line="360" w:lineRule="auto"/>
        <w:jc w:val="both"/>
        <w:rPr>
          <w:sz w:val="24"/>
          <w:szCs w:val="24"/>
        </w:rPr>
      </w:pPr>
      <w:r w:rsidRPr="00763BBA">
        <w:rPr>
          <w:rFonts w:ascii="Arial" w:hAnsi="Arial" w:cs="Arial"/>
          <w:color w:val="000000"/>
          <w:sz w:val="24"/>
          <w:szCs w:val="24"/>
        </w:rPr>
        <w:t>Soweit d. Verstorbene zur Zeit des Todes (Mit-)Eigentümer von Grundstücken war oder als Gesellschafter einer Gesellschaft bürgerlichen Rechts im Grundbuch eingetragen war, wird darauf hingewiesen, dass für die Eintragung von Erben des im Grundbuch eingetra</w:t>
      </w:r>
      <w:r w:rsidRPr="00763BBA">
        <w:rPr>
          <w:rFonts w:ascii="Arial" w:hAnsi="Arial" w:cs="Arial"/>
          <w:color w:val="000000"/>
          <w:sz w:val="24"/>
          <w:szCs w:val="24"/>
        </w:rPr>
        <w:t xml:space="preserve">genen Eigentümers oder von Erben des Gesellschafters bürgerlichen Rechts vom Grundbuchamt </w:t>
      </w:r>
      <w:r w:rsidRPr="00763BBA">
        <w:rPr>
          <w:rFonts w:ascii="Arial" w:hAnsi="Arial" w:cs="Arial"/>
          <w:b/>
          <w:color w:val="000000"/>
          <w:sz w:val="24"/>
          <w:szCs w:val="24"/>
        </w:rPr>
        <w:t>einmalig</w:t>
      </w:r>
      <w:r w:rsidRPr="00763BBA">
        <w:rPr>
          <w:rFonts w:ascii="Arial" w:hAnsi="Arial" w:cs="Arial"/>
          <w:color w:val="000000"/>
          <w:sz w:val="24"/>
          <w:szCs w:val="24"/>
        </w:rPr>
        <w:t xml:space="preserve"> (das heißt entweder für die Eintragung aller Erben in Erbengemeinschaft oder nach notarieller Auseinandersetzung der Erbengemeinschaft für die Eintragung ein</w:t>
      </w:r>
      <w:r w:rsidRPr="00763BBA">
        <w:rPr>
          <w:rFonts w:ascii="Arial" w:hAnsi="Arial" w:cs="Arial"/>
          <w:color w:val="000000"/>
          <w:sz w:val="24"/>
          <w:szCs w:val="24"/>
        </w:rPr>
        <w:t xml:space="preserve">es bzw. mehrerer Miterben) </w:t>
      </w:r>
      <w:r w:rsidRPr="00763BBA">
        <w:rPr>
          <w:rFonts w:ascii="Arial" w:hAnsi="Arial" w:cs="Arial"/>
          <w:b/>
          <w:color w:val="000000"/>
          <w:sz w:val="24"/>
          <w:szCs w:val="24"/>
        </w:rPr>
        <w:t>keine Gebühren</w:t>
      </w:r>
      <w:r w:rsidRPr="00763BBA">
        <w:rPr>
          <w:rFonts w:ascii="Arial" w:hAnsi="Arial" w:cs="Arial"/>
          <w:color w:val="000000"/>
          <w:sz w:val="24"/>
          <w:szCs w:val="24"/>
        </w:rPr>
        <w:t xml:space="preserve"> erhoben werden, wenn der Eintragungsantrag </w:t>
      </w:r>
      <w:r w:rsidRPr="00763BBA">
        <w:rPr>
          <w:rFonts w:ascii="Arial" w:hAnsi="Arial" w:cs="Arial"/>
          <w:b/>
          <w:color w:val="000000"/>
          <w:sz w:val="24"/>
          <w:szCs w:val="24"/>
        </w:rPr>
        <w:t>innerhalb von 2 Jahren</w:t>
      </w:r>
      <w:r w:rsidRPr="00763BBA">
        <w:rPr>
          <w:rFonts w:ascii="Arial" w:hAnsi="Arial" w:cs="Arial"/>
          <w:color w:val="000000"/>
          <w:sz w:val="24"/>
          <w:szCs w:val="24"/>
        </w:rPr>
        <w:t xml:space="preserve"> seit dem Erbfall bei dem zuständigen Grundbuchamt eingereicht wird, Nr. 14110 Abs. 1 KV </w:t>
      </w:r>
      <w:proofErr w:type="spellStart"/>
      <w:r w:rsidRPr="00763BBA">
        <w:rPr>
          <w:rFonts w:ascii="Arial" w:hAnsi="Arial" w:cs="Arial"/>
          <w:color w:val="000000"/>
          <w:sz w:val="24"/>
          <w:szCs w:val="24"/>
        </w:rPr>
        <w:t>GNotKG</w:t>
      </w:r>
      <w:proofErr w:type="spellEnd"/>
      <w:r w:rsidRPr="00763BBA">
        <w:rPr>
          <w:rFonts w:ascii="Arial" w:hAnsi="Arial" w:cs="Arial"/>
          <w:color w:val="000000"/>
          <w:sz w:val="24"/>
          <w:szCs w:val="24"/>
        </w:rPr>
        <w:t xml:space="preserve"> (Gerichts- und Notarkostengesetz).</w:t>
      </w:r>
      <w:bookmarkStart w:id="0" w:name="_GoBack"/>
      <w:bookmarkEnd w:id="0"/>
    </w:p>
    <w:p w:rsidR="00C6291E" w:rsidRPr="00763BBA" w:rsidRDefault="00C6291E" w:rsidP="00763BB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6291E" w:rsidRPr="00763BBA" w:rsidRDefault="004F0DC4" w:rsidP="00763BBA">
      <w:pPr>
        <w:spacing w:after="0" w:line="360" w:lineRule="auto"/>
        <w:jc w:val="both"/>
        <w:rPr>
          <w:sz w:val="24"/>
          <w:szCs w:val="24"/>
        </w:rPr>
      </w:pPr>
      <w:r w:rsidRPr="00763BBA">
        <w:rPr>
          <w:rFonts w:ascii="Arial" w:hAnsi="Arial" w:cs="Arial"/>
          <w:color w:val="000000"/>
          <w:sz w:val="24"/>
          <w:szCs w:val="24"/>
        </w:rPr>
        <w:t>Sofern Sie die so</w:t>
      </w:r>
      <w:r w:rsidRPr="00763BBA">
        <w:rPr>
          <w:rFonts w:ascii="Arial" w:hAnsi="Arial" w:cs="Arial"/>
          <w:color w:val="000000"/>
          <w:sz w:val="24"/>
          <w:szCs w:val="24"/>
        </w:rPr>
        <w:t>fortige Eintragung der Erbengemeinschaft an dem vorhandenen Grundbesitz wünschen - die einmalige Gebührenfreiheit wäre dann hiermit verbraucht - wird um entsprechende Mitteilung (möglichst mit Angabe von Gemarkung und Blattstelle) gebeten, der Antrag auf G</w:t>
      </w:r>
      <w:r w:rsidRPr="00763BBA">
        <w:rPr>
          <w:rFonts w:ascii="Arial" w:hAnsi="Arial" w:cs="Arial"/>
          <w:color w:val="000000"/>
          <w:sz w:val="24"/>
          <w:szCs w:val="24"/>
        </w:rPr>
        <w:t>rundbuchberichtigung wird dann zum zuständigen Grundbuchamt weitergeleitet.</w:t>
      </w:r>
    </w:p>
    <w:p w:rsidR="00C6291E" w:rsidRPr="00763BBA" w:rsidRDefault="00C6291E" w:rsidP="00763BB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6291E" w:rsidRPr="00763BBA" w:rsidRDefault="004F0DC4" w:rsidP="00763BBA">
      <w:pPr>
        <w:spacing w:after="0" w:line="360" w:lineRule="auto"/>
        <w:jc w:val="both"/>
        <w:rPr>
          <w:sz w:val="24"/>
          <w:szCs w:val="24"/>
        </w:rPr>
      </w:pPr>
      <w:r w:rsidRPr="00763BBA">
        <w:rPr>
          <w:rFonts w:ascii="Arial" w:hAnsi="Arial" w:cs="Arial"/>
          <w:color w:val="000000"/>
          <w:sz w:val="24"/>
          <w:szCs w:val="24"/>
        </w:rPr>
        <w:t>Andernfalls wird das Grundbuchamt lediglich über die Erbfolge informiert und Sie müssen damit rechnen, dass Sie zu gegebener Zeit erneut zur Grundbuchberichtigung aufgefordert wer</w:t>
      </w:r>
      <w:r w:rsidRPr="00763BBA">
        <w:rPr>
          <w:rFonts w:ascii="Arial" w:hAnsi="Arial" w:cs="Arial"/>
          <w:color w:val="000000"/>
          <w:sz w:val="24"/>
          <w:szCs w:val="24"/>
        </w:rPr>
        <w:t>den.</w:t>
      </w:r>
    </w:p>
    <w:p w:rsidR="00C6291E" w:rsidRPr="00763BBA" w:rsidRDefault="00C6291E" w:rsidP="00763BB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6291E" w:rsidRPr="00763BBA" w:rsidRDefault="004F0DC4" w:rsidP="00763BB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63BBA">
        <w:rPr>
          <w:rFonts w:ascii="Arial" w:hAnsi="Arial" w:cs="Arial"/>
          <w:color w:val="000000"/>
          <w:sz w:val="24"/>
          <w:szCs w:val="24"/>
        </w:rPr>
        <w:t>Bitte beachten Sie, dass für die Berichtigung des Grundbuchs entweder eine</w:t>
      </w:r>
      <w:r w:rsidRPr="00763BBA">
        <w:rPr>
          <w:rFonts w:ascii="Arial" w:hAnsi="Arial" w:cs="Arial"/>
          <w:b/>
          <w:color w:val="000000"/>
          <w:sz w:val="24"/>
          <w:szCs w:val="24"/>
        </w:rPr>
        <w:t xml:space="preserve"> beglaubigte Abschrift der notariellen Verfügung von Todes wegen nebst beglaubigter Abschrift der Eröffnungsniederschrift</w:t>
      </w:r>
      <w:r w:rsidRPr="00763BBA">
        <w:rPr>
          <w:rFonts w:ascii="Arial" w:hAnsi="Arial" w:cs="Arial"/>
          <w:color w:val="000000"/>
          <w:sz w:val="24"/>
          <w:szCs w:val="24"/>
        </w:rPr>
        <w:t xml:space="preserve">, ein </w:t>
      </w:r>
      <w:r w:rsidRPr="00763BBA">
        <w:rPr>
          <w:rFonts w:ascii="Arial" w:hAnsi="Arial" w:cs="Arial"/>
          <w:b/>
          <w:color w:val="000000"/>
          <w:sz w:val="24"/>
          <w:szCs w:val="24"/>
        </w:rPr>
        <w:t>Erbschein</w:t>
      </w:r>
      <w:r w:rsidRPr="00763BBA">
        <w:rPr>
          <w:rFonts w:ascii="Arial" w:hAnsi="Arial" w:cs="Arial"/>
          <w:color w:val="000000"/>
          <w:sz w:val="24"/>
          <w:szCs w:val="24"/>
        </w:rPr>
        <w:t xml:space="preserve"> oder ein </w:t>
      </w:r>
      <w:r w:rsidRPr="00763BBA">
        <w:rPr>
          <w:rFonts w:ascii="Arial" w:hAnsi="Arial" w:cs="Arial"/>
          <w:b/>
          <w:color w:val="000000"/>
          <w:sz w:val="24"/>
          <w:szCs w:val="24"/>
        </w:rPr>
        <w:t>Europäisches Nachlasszeugnis</w:t>
      </w:r>
      <w:r w:rsidRPr="00763BBA">
        <w:rPr>
          <w:rFonts w:ascii="Arial" w:hAnsi="Arial" w:cs="Arial"/>
          <w:color w:val="000000"/>
          <w:sz w:val="24"/>
          <w:szCs w:val="24"/>
        </w:rPr>
        <w:t xml:space="preserve"> e</w:t>
      </w:r>
      <w:r w:rsidRPr="00763BBA">
        <w:rPr>
          <w:rFonts w:ascii="Arial" w:hAnsi="Arial" w:cs="Arial"/>
          <w:color w:val="000000"/>
          <w:sz w:val="24"/>
          <w:szCs w:val="24"/>
        </w:rPr>
        <w:t xml:space="preserve">rforderlich ist. </w:t>
      </w:r>
    </w:p>
    <w:sectPr w:rsidR="00C6291E" w:rsidRPr="00763B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5"/>
      <w:pgMar w:top="285" w:right="1140" w:bottom="285" w:left="1365" w:header="285" w:footer="28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DC4" w:rsidRDefault="004F0DC4">
      <w:pPr>
        <w:spacing w:after="0" w:line="240" w:lineRule="auto"/>
      </w:pPr>
      <w:r>
        <w:separator/>
      </w:r>
    </w:p>
  </w:endnote>
  <w:endnote w:type="continuationSeparator" w:id="0">
    <w:p w:rsidR="004F0DC4" w:rsidRDefault="004F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BBA" w:rsidRDefault="00763B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91E" w:rsidRDefault="00C6291E">
    <w:pPr>
      <w:spacing w:after="0" w:line="240" w:lineRule="auto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91E" w:rsidRDefault="00C6291E">
    <w:pPr>
      <w:spacing w:after="0"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DC4" w:rsidRDefault="004F0DC4">
      <w:pPr>
        <w:spacing w:after="0" w:line="240" w:lineRule="auto"/>
      </w:pPr>
      <w:r>
        <w:separator/>
      </w:r>
    </w:p>
  </w:footnote>
  <w:footnote w:type="continuationSeparator" w:id="0">
    <w:p w:rsidR="004F0DC4" w:rsidRDefault="004F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BBA" w:rsidRDefault="00763B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C6291E">
      <w:trPr>
        <w:trHeight w:val="570"/>
      </w:trPr>
      <w:tc>
        <w:tcPr>
          <w:tcW w:w="3120" w:type="dxa"/>
          <w:shd w:val="clear" w:color="auto" w:fill="auto"/>
          <w:vAlign w:val="center"/>
        </w:tcPr>
        <w:p w:rsidR="00C6291E" w:rsidRDefault="004F0DC4">
          <w:pPr>
            <w:spacing w:after="0" w:line="240" w:lineRule="auto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A 61 IV 252/21</w:t>
          </w:r>
        </w:p>
      </w:tc>
      <w:tc>
        <w:tcPr>
          <w:tcW w:w="3120" w:type="dxa"/>
          <w:shd w:val="clear" w:color="auto" w:fill="auto"/>
          <w:vAlign w:val="center"/>
        </w:tcPr>
        <w:p w:rsidR="00C6291E" w:rsidRDefault="004F0DC4">
          <w:pPr>
            <w:spacing w:after="0" w:line="24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-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    \* MERGEFORMAT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 xml:space="preserve"> -</w:t>
          </w:r>
        </w:p>
      </w:tc>
      <w:tc>
        <w:tcPr>
          <w:tcW w:w="3120" w:type="dxa"/>
          <w:shd w:val="clear" w:color="auto" w:fill="auto"/>
          <w:vAlign w:val="center"/>
        </w:tcPr>
        <w:p w:rsidR="00C6291E" w:rsidRDefault="00C6291E">
          <w:pPr>
            <w:spacing w:after="0" w:line="240" w:lineRule="auto"/>
            <w:rPr>
              <w:rFonts w:ascii="Arial" w:hAnsi="Arial" w:cs="Arial"/>
            </w:rPr>
          </w:pPr>
        </w:p>
      </w:tc>
    </w:tr>
  </w:tbl>
  <w:p w:rsidR="00C6291E" w:rsidRDefault="00C6291E">
    <w:pPr>
      <w:spacing w:after="0" w:line="240" w:lineRule="aut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91E" w:rsidRDefault="004F0DC4">
    <w:pPr>
      <w:spacing w:after="0" w:line="240" w:lineRule="auto"/>
      <w:jc w:val="center"/>
    </w:pPr>
    <w:r>
      <w:fldChar w:fldCharType="begin"/>
    </w:r>
    <w:r>
      <w:instrText xml:space="preserve"> DOCPROPERTY  Sys::CopyType  \* MERGEFORMAT </w:instrText>
    </w:r>
    <w:r>
      <w:fldChar w:fldCharType="end"/>
    </w:r>
  </w:p>
  <w:p w:rsidR="00C6291E" w:rsidRDefault="004F0DC4">
    <w:pPr>
      <w:spacing w:after="0" w:line="240" w:lineRule="auto"/>
      <w:rPr>
        <w:rFonts w:ascii="Arial" w:hAnsi="Arial" w:cs="Arial"/>
        <w:sz w:val="4"/>
      </w:rPr>
    </w:pPr>
    <w:r>
      <w:rPr>
        <w:rFonts w:ascii="Arial" w:hAnsi="Arial" w:cs="Arial"/>
        <w:sz w:val="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0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91E"/>
    <w:rsid w:val="00402CC2"/>
    <w:rsid w:val="004F0DC4"/>
    <w:rsid w:val="00763BBA"/>
    <w:rsid w:val="00C6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8B00B3-0F27-48DB-9D1A-CA8EE053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A3277"/>
  </w:style>
  <w:style w:type="paragraph" w:styleId="berschrift1">
    <w:name w:val="heading 1"/>
    <w:basedOn w:val="Standard"/>
    <w:next w:val="Standard"/>
    <w:link w:val="berschrift1Zch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1CD9"/>
  </w:style>
  <w:style w:type="character" w:customStyle="1" w:styleId="berschrift1Zchn">
    <w:name w:val="Überschrift 1 Zchn"/>
    <w:basedOn w:val="Absatz-Standardschriftart"/>
    <w:link w:val="berschrift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Standardeinzug">
    <w:name w:val="Normal Indent"/>
    <w:basedOn w:val="Standard"/>
    <w:uiPriority w:val="99"/>
    <w:unhideWhenUsed/>
    <w:rsid w:val="00841CD9"/>
    <w:pPr>
      <w:ind w:left="720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ervorhebung">
    <w:name w:val="Emphasis"/>
    <w:basedOn w:val="Absatz-Standardschriftart"/>
    <w:uiPriority w:val="20"/>
    <w:qFormat/>
    <w:rsid w:val="00D1197D"/>
    <w:rPr>
      <w:i/>
      <w:iCs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uzeile">
    <w:name w:val="footer"/>
    <w:basedOn w:val="Standard"/>
    <w:link w:val="FuzeileZchn"/>
    <w:uiPriority w:val="99"/>
    <w:unhideWhenUsed/>
    <w:rsid w:val="00763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3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Freise, Elisabeth (AG Boeblingen)</cp:lastModifiedBy>
  <cp:revision>3</cp:revision>
  <cp:lastPrinted>2023-01-25T14:57:00Z</cp:lastPrinted>
  <dcterms:created xsi:type="dcterms:W3CDTF">2023-01-25T14:56:00Z</dcterms:created>
  <dcterms:modified xsi:type="dcterms:W3CDTF">2023-01-25T14:59:00Z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s::CopyType">
    <vt:lpwstr/>
  </property>
</Properties>
</file>